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64" w:lineRule="auto"/>
        <w:jc w:val="both"/>
        <w:rPr>
          <w:rFonts w:ascii="Bookman Old Style" w:cs="Bookman Old Style" w:eastAsia="Bookman Old Style" w:hAnsi="Bookman Old Style"/>
          <w:b w:val="1"/>
          <w:bCs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spacing w:line="264" w:lineRule="auto"/>
        <w:jc w:val="both"/>
        <w:rPr>
          <w:rFonts w:ascii="Bookman Old Style" w:cs="Bookman Old Style" w:eastAsia="Bookman Old Style" w:hAnsi="Bookman Old Style"/>
          <w:b w:val="1"/>
          <w:bCs w:val="1"/>
          <w:sz w:val="24"/>
          <w:szCs w:val="24"/>
        </w:rPr>
      </w:pPr>
      <w:r w:rsidDel="00000000" w:rsidR="00000000" w:rsidRPr="00000000">
        <w:rPr>
          <w:rtl w:val="0"/>
        </w:rPr>
      </w:r>
    </w:p>
    <w:p w:rsidR="00000000" w:rsidDel="00000000" w:rsidP="00000000" w:rsidRDefault="00000000" w:rsidRPr="00000000" w14:paraId="00000003">
      <w:pPr>
        <w:spacing w:line="264" w:lineRule="auto"/>
        <w:jc w:val="both"/>
        <w:rPr>
          <w:rFonts w:ascii="Bookman Old Style" w:cs="Bookman Old Style" w:eastAsia="Bookman Old Style" w:hAnsi="Bookman Old Style"/>
          <w:b w:val="1"/>
          <w:bCs w:val="1"/>
          <w:sz w:val="20"/>
          <w:szCs w:val="20"/>
        </w:rPr>
      </w:pPr>
      <w:r w:rsidDel="00000000" w:rsidR="00000000" w:rsidRPr="00000000">
        <w:rPr>
          <w:rFonts w:ascii="Bookman Old Style" w:cs="Bookman Old Style" w:eastAsia="Bookman Old Style" w:hAnsi="Bookman Old Style"/>
          <w:b w:val="1"/>
          <w:bCs w:val="1"/>
          <w:sz w:val="24"/>
          <w:szCs w:val="24"/>
          <w:rtl w:val="0"/>
        </w:rPr>
        <w:t xml:space="preserve">L'evoluzione normativa nel contrasto al bullismo e cyberbullismo</w:t>
      </w:r>
      <w:r w:rsidDel="00000000" w:rsidR="00000000" w:rsidRPr="00000000">
        <w:rPr>
          <w:rtl w:val="0"/>
        </w:rPr>
      </w:r>
    </w:p>
    <w:p w:rsidR="00000000" w:rsidDel="00000000" w:rsidP="00000000" w:rsidRDefault="00000000" w:rsidRPr="00000000" w14:paraId="00000004">
      <w:pPr>
        <w:spacing w:line="288" w:lineRule="auto"/>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05">
      <w:pPr>
        <w:spacing w:line="264" w:lineRule="auto"/>
        <w:jc w:val="center"/>
        <w:rPr>
          <w:rFonts w:ascii="Bookman Old Style" w:cs="Bookman Old Style" w:eastAsia="Bookman Old Style" w:hAnsi="Bookman Old Style"/>
          <w:sz w:val="44"/>
          <w:szCs w:val="44"/>
        </w:rPr>
      </w:pPr>
      <w:r w:rsidDel="00000000" w:rsidR="00000000" w:rsidRPr="00000000">
        <w:rPr>
          <w:rFonts w:ascii="Bookman Old Style" w:cs="Bookman Old Style" w:eastAsia="Bookman Old Style" w:hAnsi="Bookman Old Style"/>
          <w:b w:val="1"/>
          <w:bCs w:val="1"/>
          <w:sz w:val="44"/>
          <w:szCs w:val="44"/>
          <w:rtl w:val="0"/>
        </w:rPr>
        <w:t xml:space="preserve">Il contrasto al bullismo ed al </w:t>
      </w:r>
      <w:r w:rsidDel="00000000" w:rsidR="00000000" w:rsidRPr="00000000">
        <w:rPr>
          <w:rFonts w:ascii="Bookman Old Style" w:cs="Bookman Old Style" w:eastAsia="Bookman Old Style" w:hAnsi="Bookman Old Style"/>
          <w:b w:val="1"/>
          <w:bCs w:val="1"/>
          <w:i w:val="1"/>
          <w:iCs w:val="1"/>
          <w:sz w:val="44"/>
          <w:szCs w:val="44"/>
          <w:rtl w:val="0"/>
        </w:rPr>
        <w:t xml:space="preserve">cyberbullismo</w:t>
      </w:r>
      <w:r w:rsidDel="00000000" w:rsidR="00000000" w:rsidRPr="00000000">
        <w:rPr>
          <w:rFonts w:ascii="Bookman Old Style" w:cs="Bookman Old Style" w:eastAsia="Bookman Old Style" w:hAnsi="Bookman Old Style"/>
          <w:b w:val="1"/>
          <w:bCs w:val="1"/>
          <w:sz w:val="44"/>
          <w:szCs w:val="44"/>
          <w:rtl w:val="0"/>
        </w:rPr>
        <w:t xml:space="preserve"> nel prisma della novella legislativa n. 99/2025: profili dogmatici, responsabilità ordinamentali e modelli operativi integrati</w:t>
      </w:r>
      <w:r w:rsidDel="00000000" w:rsidR="00000000" w:rsidRPr="00000000">
        <w:rPr>
          <w:rtl w:val="0"/>
        </w:rPr>
      </w:r>
    </w:p>
    <w:p w:rsidR="00000000" w:rsidDel="00000000" w:rsidP="00000000" w:rsidRDefault="00000000" w:rsidRPr="00000000" w14:paraId="00000006">
      <w:pPr>
        <w:spacing w:line="264" w:lineRule="auto"/>
        <w:rPr>
          <w:rFonts w:ascii="Bookman Old Style" w:cs="Bookman Old Style" w:eastAsia="Bookman Old Style" w:hAnsi="Bookman Old Style"/>
          <w:sz w:val="32"/>
          <w:szCs w:val="32"/>
        </w:rPr>
      </w:pPr>
      <w:r w:rsidDel="00000000" w:rsidR="00000000" w:rsidRPr="00000000">
        <w:rPr>
          <w:rtl w:val="0"/>
        </w:rPr>
      </w:r>
    </w:p>
    <w:p w:rsidR="00000000" w:rsidDel="00000000" w:rsidP="00000000" w:rsidRDefault="00000000" w:rsidRPr="00000000" w14:paraId="00000007">
      <w:pPr>
        <w:spacing w:line="240" w:lineRule="auto"/>
        <w:jc w:val="both"/>
        <w:rPr>
          <w:rFonts w:ascii="Bookman Old Style" w:cs="Bookman Old Style" w:eastAsia="Bookman Old Style" w:hAnsi="Bookman Old Style"/>
          <w:b w:val="1"/>
          <w:bCs w:val="1"/>
          <w:sz w:val="20"/>
          <w:szCs w:val="20"/>
        </w:rPr>
      </w:pPr>
      <w:r w:rsidDel="00000000" w:rsidR="00000000" w:rsidRPr="00000000">
        <w:rPr>
          <w:rFonts w:ascii="Bookman Old Style" w:cs="Bookman Old Style" w:eastAsia="Bookman Old Style" w:hAnsi="Bookman Old Style"/>
          <w:b w:val="1"/>
          <w:bCs w:val="1"/>
          <w:sz w:val="20"/>
          <w:szCs w:val="20"/>
          <w:rtl w:val="0"/>
        </w:rPr>
        <w:t xml:space="preserve">Avv. Roberto ANTONELLI</w:t>
      </w:r>
      <w:r w:rsidDel="00000000" w:rsidR="00000000" w:rsidRPr="00000000">
        <w:rPr>
          <w:rFonts w:ascii="Bookman Old Style" w:cs="Bookman Old Style" w:eastAsia="Bookman Old Style" w:hAnsi="Bookman Old Style"/>
          <w:sz w:val="20"/>
          <w:szCs w:val="20"/>
          <w:rtl w:val="0"/>
        </w:rPr>
        <w:t xml:space="preserve">. Dirigente, Comandante della Polizia Locale di Ciampino (Roma).</w:t>
      </w:r>
      <w:r w:rsidDel="00000000" w:rsidR="00000000" w:rsidRPr="00000000">
        <w:rPr>
          <w:rtl w:val="0"/>
        </w:rPr>
      </w:r>
    </w:p>
    <w:p w:rsidR="00000000" w:rsidDel="00000000" w:rsidP="00000000" w:rsidRDefault="00000000" w:rsidRPr="00000000" w14:paraId="00000008">
      <w:pPr>
        <w:spacing w:line="240" w:lineRule="auto"/>
        <w:jc w:val="both"/>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009">
      <w:pPr>
        <w:spacing w:line="240" w:lineRule="auto"/>
        <w:jc w:val="both"/>
        <w:rPr>
          <w:rFonts w:ascii="Bookman Old Style" w:cs="Bookman Old Style" w:eastAsia="Bookman Old Style" w:hAnsi="Bookman Old Style"/>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spacing w:line="240" w:lineRule="auto"/>
        <w:jc w:val="both"/>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00B">
      <w:pPr>
        <w:spacing w:line="240" w:lineRule="auto"/>
        <w:rPr>
          <w:rFonts w:ascii="Bookman Old Style" w:cs="Bookman Old Style" w:eastAsia="Bookman Old Style" w:hAnsi="Bookman Old Style"/>
          <w:b w:val="1"/>
          <w:bCs w:val="1"/>
          <w:sz w:val="24"/>
          <w:szCs w:val="24"/>
        </w:rPr>
      </w:pPr>
      <w:r w:rsidDel="00000000" w:rsidR="00000000" w:rsidRPr="00000000">
        <w:rPr>
          <w:rtl w:val="0"/>
        </w:rPr>
      </w:r>
    </w:p>
    <w:p w:rsidR="00000000" w:rsidDel="00000000" w:rsidP="00000000" w:rsidRDefault="00000000" w:rsidRPr="00000000" w14:paraId="0000000C">
      <w:pPr>
        <w:spacing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b w:val="1"/>
          <w:bCs w:val="1"/>
          <w:sz w:val="24"/>
          <w:szCs w:val="24"/>
          <w:rtl w:val="0"/>
        </w:rPr>
        <w:t xml:space="preserve">1. Introduzione: la genesi del nuovo assetto ordinamentale</w:t>
      </w:r>
      <w:r w:rsidDel="00000000" w:rsidR="00000000" w:rsidRPr="00000000">
        <w:rPr>
          <w:rtl w:val="0"/>
        </w:rPr>
      </w:r>
    </w:p>
    <w:p w:rsidR="00000000" w:rsidDel="00000000" w:rsidP="00000000" w:rsidRDefault="00000000" w:rsidRPr="00000000" w14:paraId="0000000D">
      <w:pPr>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0E">
      <w:pPr>
        <w:spacing w:after="240" w:before="240"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L'ordinamento giuridico italiano ha conosciuto, nell'ultimo decennio, una progressiva e necessaria stratificazione normativa volta al contrasto dei fenomeni di bullismo e cyberbullismo. La complessità delle condotte illecite, amplificata dalla pervasività degli strumenti digitali e dalla dematerializzazione delle relazioni interpersonali, ha imposto al legislatore il superamento di un approccio meramente repressivo a favore di un paradigma integrato, focalizzato sulla prevenzione, sulla formazione e sulla responsabilità diffusa.</w:t>
      </w:r>
    </w:p>
    <w:p w:rsidR="00000000" w:rsidDel="00000000" w:rsidP="00000000" w:rsidRDefault="00000000" w:rsidRPr="00000000" w14:paraId="0000000F">
      <w:pPr>
        <w:spacing w:after="240" w:before="240"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Il punto di caduta di tale percorso evolutivo è rappresentato dal </w:t>
      </w:r>
      <w:r w:rsidDel="00000000" w:rsidR="00000000" w:rsidRPr="00000000">
        <w:rPr>
          <w:rFonts w:ascii="Bookman Old Style" w:cs="Bookman Old Style" w:eastAsia="Bookman Old Style" w:hAnsi="Bookman Old Style"/>
          <w:b w:val="1"/>
          <w:bCs w:val="1"/>
          <w:sz w:val="24"/>
          <w:szCs w:val="24"/>
          <w:rtl w:val="0"/>
        </w:rPr>
        <w:t xml:space="preserve">D.Lgs. 12 giugno 2025, n. 99</w:t>
      </w:r>
      <w:r w:rsidDel="00000000" w:rsidR="00000000" w:rsidRPr="00000000">
        <w:rPr>
          <w:rFonts w:ascii="Bookman Old Style" w:cs="Bookman Old Style" w:eastAsia="Bookman Old Style" w:hAnsi="Bookman Old Style"/>
          <w:sz w:val="24"/>
          <w:szCs w:val="24"/>
          <w:rtl w:val="0"/>
        </w:rPr>
        <w:t xml:space="preserve"> (entrato in vigore il 16 luglio 2025). Tale provvedimento, attuativo della delega contenuta nella Legge 17 maggio 2024, n. 70, non si limita a novellare la precedente disciplina, ma ridisegna l'architettura istituzionale del contrasto al fenomeno. Si passa da una logica di intervento episodico a un sistema di </w:t>
      </w:r>
      <w:r w:rsidDel="00000000" w:rsidR="00000000" w:rsidRPr="00000000">
        <w:rPr>
          <w:rFonts w:ascii="Bookman Old Style" w:cs="Bookman Old Style" w:eastAsia="Bookman Old Style" w:hAnsi="Bookman Old Style"/>
          <w:i w:val="1"/>
          <w:iCs w:val="1"/>
          <w:sz w:val="24"/>
          <w:szCs w:val="24"/>
          <w:rtl w:val="0"/>
        </w:rPr>
        <w:t xml:space="preserve">governance</w:t>
      </w:r>
      <w:r w:rsidDel="00000000" w:rsidR="00000000" w:rsidRPr="00000000">
        <w:rPr>
          <w:rFonts w:ascii="Bookman Old Style" w:cs="Bookman Old Style" w:eastAsia="Bookman Old Style" w:hAnsi="Bookman Old Style"/>
          <w:sz w:val="24"/>
          <w:szCs w:val="24"/>
          <w:rtl w:val="0"/>
        </w:rPr>
        <w:t xml:space="preserve"> multilivello che coinvolge, in un sinallagma operativo, le istituzioni scolastiche, le famiglie e le agenzie educative del Terzo Settore.</w:t>
      </w:r>
    </w:p>
    <w:p w:rsidR="00000000" w:rsidDel="00000000" w:rsidP="00000000" w:rsidRDefault="00000000" w:rsidRPr="00000000" w14:paraId="00000010">
      <w:pPr>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11">
      <w:pPr>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12">
      <w:pPr>
        <w:spacing w:line="240" w:lineRule="auto"/>
        <w:jc w:val="both"/>
        <w:rPr>
          <w:rFonts w:ascii="Bookman Old Style" w:cs="Bookman Old Style" w:eastAsia="Bookman Old Style" w:hAnsi="Bookman Old Style"/>
          <w:b w:val="1"/>
          <w:bCs w:val="1"/>
          <w:sz w:val="24"/>
          <w:szCs w:val="24"/>
        </w:rPr>
      </w:pPr>
      <w:r w:rsidDel="00000000" w:rsidR="00000000" w:rsidRPr="00000000">
        <w:rPr>
          <w:rFonts w:ascii="Bookman Old Style" w:cs="Bookman Old Style" w:eastAsia="Bookman Old Style" w:hAnsi="Bookman Old Style"/>
          <w:b w:val="1"/>
          <w:bCs w:val="1"/>
          <w:sz w:val="24"/>
          <w:szCs w:val="24"/>
          <w:rtl w:val="0"/>
        </w:rPr>
        <w:t xml:space="preserve">2. L’evoluzione del quadro normativo: dalla Legge 71/2017 al D.Lgs. 99/2025</w:t>
      </w:r>
    </w:p>
    <w:p w:rsidR="00000000" w:rsidDel="00000000" w:rsidP="00000000" w:rsidRDefault="00000000" w:rsidRPr="00000000" w14:paraId="00000013">
      <w:pPr>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14">
      <w:pPr>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La ricognizione normativa evidenzia un </w:t>
      </w:r>
      <w:r w:rsidDel="00000000" w:rsidR="00000000" w:rsidRPr="00000000">
        <w:rPr>
          <w:rFonts w:ascii="Bookman Old Style" w:cs="Bookman Old Style" w:eastAsia="Bookman Old Style" w:hAnsi="Bookman Old Style"/>
          <w:i w:val="1"/>
          <w:iCs w:val="1"/>
          <w:sz w:val="24"/>
          <w:szCs w:val="24"/>
          <w:rtl w:val="0"/>
        </w:rPr>
        <w:t xml:space="preserve">trend</w:t>
      </w:r>
      <w:r w:rsidDel="00000000" w:rsidR="00000000" w:rsidRPr="00000000">
        <w:rPr>
          <w:rFonts w:ascii="Bookman Old Style" w:cs="Bookman Old Style" w:eastAsia="Bookman Old Style" w:hAnsi="Bookman Old Style"/>
          <w:sz w:val="24"/>
          <w:szCs w:val="24"/>
          <w:rtl w:val="0"/>
        </w:rPr>
        <w:t xml:space="preserve"> legislativo volto all'estensione delle tutele e alla proceduralizzazione degli interventi. Se la Legge 29 maggio 2017, n. 71 aveva il merito storico di tipizzare per la prima volta gli strumenti di contrasto al </w:t>
      </w:r>
      <w:r w:rsidDel="00000000" w:rsidR="00000000" w:rsidRPr="00000000">
        <w:rPr>
          <w:rFonts w:ascii="Bookman Old Style" w:cs="Bookman Old Style" w:eastAsia="Bookman Old Style" w:hAnsi="Bookman Old Style"/>
          <w:i w:val="1"/>
          <w:iCs w:val="1"/>
          <w:sz w:val="24"/>
          <w:szCs w:val="24"/>
          <w:rtl w:val="0"/>
        </w:rPr>
        <w:t xml:space="preserve">cyberbullismo</w:t>
      </w:r>
      <w:r w:rsidDel="00000000" w:rsidR="00000000" w:rsidRPr="00000000">
        <w:rPr>
          <w:rFonts w:ascii="Bookman Old Style" w:cs="Bookman Old Style" w:eastAsia="Bookman Old Style" w:hAnsi="Bookman Old Style"/>
          <w:sz w:val="24"/>
          <w:szCs w:val="24"/>
          <w:rtl w:val="0"/>
        </w:rPr>
        <w:t xml:space="preserve">, riconoscendo la specificità dell'aggressione digitale, è con la Legge n. 70/2024 che si assiste a una svolta sistemica. Il legislatore del 2024 ha esteso le tutele a tutte le forme di bullismo (anche non telematico) e ha posto le basi per l'attuale D.Lgs. 99/2025.</w:t>
      </w:r>
    </w:p>
    <w:p w:rsidR="00000000" w:rsidDel="00000000" w:rsidP="00000000" w:rsidRDefault="00000000" w:rsidRPr="00000000" w14:paraId="00000015">
      <w:pPr>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16">
      <w:pPr>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17">
      <w:pPr>
        <w:spacing w:line="240" w:lineRule="auto"/>
        <w:jc w:val="both"/>
        <w:rPr>
          <w:rFonts w:ascii="Bookman Old Style" w:cs="Bookman Old Style" w:eastAsia="Bookman Old Style" w:hAnsi="Bookman Old Style"/>
          <w:b w:val="1"/>
          <w:bCs w:val="1"/>
          <w:sz w:val="24"/>
          <w:szCs w:val="24"/>
        </w:rPr>
      </w:pPr>
      <w:r w:rsidDel="00000000" w:rsidR="00000000" w:rsidRPr="00000000">
        <w:rPr>
          <w:rFonts w:ascii="Bookman Old Style" w:cs="Bookman Old Style" w:eastAsia="Bookman Old Style" w:hAnsi="Bookman Old Style"/>
          <w:b w:val="1"/>
          <w:bCs w:val="1"/>
          <w:sz w:val="24"/>
          <w:szCs w:val="24"/>
          <w:rtl w:val="0"/>
        </w:rPr>
        <w:t xml:space="preserve">2.1 Le innovazioni sistemiche del Decreto Legislativo 99/2025</w:t>
      </w:r>
    </w:p>
    <w:p w:rsidR="00000000" w:rsidDel="00000000" w:rsidP="00000000" w:rsidRDefault="00000000" w:rsidRPr="00000000" w14:paraId="00000018">
      <w:pPr>
        <w:spacing w:line="240" w:lineRule="auto"/>
        <w:jc w:val="both"/>
        <w:rPr>
          <w:rFonts w:ascii="Bookman Old Style" w:cs="Bookman Old Style" w:eastAsia="Bookman Old Style" w:hAnsi="Bookman Old Style"/>
          <w:b w:val="1"/>
          <w:bCs w:val="1"/>
          <w:sz w:val="24"/>
          <w:szCs w:val="24"/>
        </w:rPr>
      </w:pPr>
      <w:r w:rsidDel="00000000" w:rsidR="00000000" w:rsidRPr="00000000">
        <w:rPr>
          <w:rtl w:val="0"/>
        </w:rPr>
      </w:r>
    </w:p>
    <w:p w:rsidR="00000000" w:rsidDel="00000000" w:rsidP="00000000" w:rsidRDefault="00000000" w:rsidRPr="00000000" w14:paraId="00000019">
      <w:pPr>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La </w:t>
      </w:r>
      <w:r w:rsidDel="00000000" w:rsidR="00000000" w:rsidRPr="00000000">
        <w:rPr>
          <w:rFonts w:ascii="Bookman Old Style" w:cs="Bookman Old Style" w:eastAsia="Bookman Old Style" w:hAnsi="Bookman Old Style"/>
          <w:i w:val="1"/>
          <w:iCs w:val="1"/>
          <w:sz w:val="24"/>
          <w:szCs w:val="24"/>
          <w:rtl w:val="0"/>
        </w:rPr>
        <w:t xml:space="preserve">ratio</w:t>
      </w:r>
      <w:r w:rsidDel="00000000" w:rsidR="00000000" w:rsidRPr="00000000">
        <w:rPr>
          <w:rFonts w:ascii="Bookman Old Style" w:cs="Bookman Old Style" w:eastAsia="Bookman Old Style" w:hAnsi="Bookman Old Style"/>
          <w:sz w:val="24"/>
          <w:szCs w:val="24"/>
          <w:rtl w:val="0"/>
        </w:rPr>
        <w:t xml:space="preserve"> del decreto del 2025 risiede nel rafforzamento del coordinamento interistituzionale. Tra gli elementi di novità di maggior rilievo giuridico si segnalano:</w:t>
      </w:r>
    </w:p>
    <w:p w:rsidR="00000000" w:rsidDel="00000000" w:rsidP="00000000" w:rsidRDefault="00000000" w:rsidRPr="00000000" w14:paraId="0000001A">
      <w:pPr>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1B">
      <w:pPr>
        <w:numPr>
          <w:ilvl w:val="0"/>
          <w:numId w:val="3"/>
        </w:numPr>
        <w:spacing w:line="240" w:lineRule="auto"/>
        <w:ind w:left="720" w:hanging="360"/>
        <w:jc w:val="both"/>
        <w:rPr>
          <w:rFonts w:ascii="Bookman Old Style" w:cs="Bookman Old Style" w:eastAsia="Bookman Old Style" w:hAnsi="Bookman Old Style"/>
          <w:sz w:val="24"/>
          <w:szCs w:val="24"/>
          <w:u w:val="none"/>
        </w:rPr>
      </w:pPr>
      <w:r w:rsidDel="00000000" w:rsidR="00000000" w:rsidRPr="00000000">
        <w:rPr>
          <w:rFonts w:ascii="Bookman Old Style" w:cs="Bookman Old Style" w:eastAsia="Bookman Old Style" w:hAnsi="Bookman Old Style"/>
          <w:b w:val="1"/>
          <w:bCs w:val="1"/>
          <w:sz w:val="24"/>
          <w:szCs w:val="24"/>
          <w:rtl w:val="0"/>
        </w:rPr>
        <w:t xml:space="preserve">Istituzionalizzazione del Tavolo Tecnico:</w:t>
      </w:r>
      <w:r w:rsidDel="00000000" w:rsidR="00000000" w:rsidRPr="00000000">
        <w:rPr>
          <w:rFonts w:ascii="Bookman Old Style" w:cs="Bookman Old Style" w:eastAsia="Bookman Old Style" w:hAnsi="Bookman Old Style"/>
          <w:sz w:val="24"/>
          <w:szCs w:val="24"/>
          <w:rtl w:val="0"/>
        </w:rPr>
        <w:t xml:space="preserve"> previsto presso il Ministero dell’Istruzione e del Merito, tale organismo non svolge funzioni meramente consultive, ma ha il compito di redigere un piano d'azione integrato vincolante. La sua composizione eterogenea riflette la natura multidisciplinare del fenomeno.</w:t>
      </w:r>
    </w:p>
    <w:p w:rsidR="00000000" w:rsidDel="00000000" w:rsidP="00000000" w:rsidRDefault="00000000" w:rsidRPr="00000000" w14:paraId="0000001C">
      <w:pPr>
        <w:spacing w:line="240" w:lineRule="auto"/>
        <w:ind w:left="720" w:firstLine="0"/>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1D">
      <w:pPr>
        <w:numPr>
          <w:ilvl w:val="0"/>
          <w:numId w:val="7"/>
        </w:numPr>
        <w:spacing w:line="240" w:lineRule="auto"/>
        <w:ind w:left="720" w:hanging="360"/>
        <w:jc w:val="both"/>
        <w:rPr>
          <w:rFonts w:ascii="Bookman Old Style" w:cs="Bookman Old Style" w:eastAsia="Bookman Old Style" w:hAnsi="Bookman Old Style"/>
          <w:sz w:val="24"/>
          <w:szCs w:val="24"/>
          <w:u w:val="none"/>
        </w:rPr>
      </w:pPr>
      <w:r w:rsidDel="00000000" w:rsidR="00000000" w:rsidRPr="00000000">
        <w:rPr>
          <w:rFonts w:ascii="Bookman Old Style" w:cs="Bookman Old Style" w:eastAsia="Bookman Old Style" w:hAnsi="Bookman Old Style"/>
          <w:b w:val="1"/>
          <w:bCs w:val="1"/>
          <w:sz w:val="24"/>
          <w:szCs w:val="24"/>
          <w:rtl w:val="0"/>
        </w:rPr>
        <w:t xml:space="preserve">Il Codice interno scolastico:</w:t>
      </w:r>
      <w:r w:rsidDel="00000000" w:rsidR="00000000" w:rsidRPr="00000000">
        <w:rPr>
          <w:rFonts w:ascii="Bookman Old Style" w:cs="Bookman Old Style" w:eastAsia="Bookman Old Style" w:hAnsi="Bookman Old Style"/>
          <w:sz w:val="24"/>
          <w:szCs w:val="24"/>
          <w:rtl w:val="0"/>
        </w:rPr>
        <w:t xml:space="preserve"> il legislatore eleva l'autonomia scolastica a strumento di prevenzione. Gli istituti non hanno più una mera facoltà, bensì l'obbligo giuridico di recepire le Linee di Orientamento ministeriali nei propri regolamenti, istituendo tavoli permanenti di monitoraggio.</w:t>
      </w:r>
    </w:p>
    <w:p w:rsidR="00000000" w:rsidDel="00000000" w:rsidP="00000000" w:rsidRDefault="00000000" w:rsidRPr="00000000" w14:paraId="0000001E">
      <w:pPr>
        <w:spacing w:line="240" w:lineRule="auto"/>
        <w:ind w:left="720" w:firstLine="0"/>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1F">
      <w:pPr>
        <w:numPr>
          <w:ilvl w:val="0"/>
          <w:numId w:val="4"/>
        </w:numPr>
        <w:spacing w:line="240" w:lineRule="auto"/>
        <w:ind w:left="720" w:hanging="360"/>
        <w:jc w:val="both"/>
        <w:rPr>
          <w:rFonts w:ascii="Bookman Old Style" w:cs="Bookman Old Style" w:eastAsia="Bookman Old Style" w:hAnsi="Bookman Old Style"/>
          <w:sz w:val="24"/>
          <w:szCs w:val="24"/>
          <w:u w:val="none"/>
        </w:rPr>
      </w:pPr>
      <w:r w:rsidDel="00000000" w:rsidR="00000000" w:rsidRPr="00000000">
        <w:rPr>
          <w:rFonts w:ascii="Bookman Old Style" w:cs="Bookman Old Style" w:eastAsia="Bookman Old Style" w:hAnsi="Bookman Old Style"/>
          <w:b w:val="1"/>
          <w:bCs w:val="1"/>
          <w:sz w:val="24"/>
          <w:szCs w:val="24"/>
          <w:rtl w:val="0"/>
        </w:rPr>
        <w:t xml:space="preserve">La Giornata del Rispetto:</w:t>
      </w:r>
      <w:r w:rsidDel="00000000" w:rsidR="00000000" w:rsidRPr="00000000">
        <w:rPr>
          <w:rFonts w:ascii="Bookman Old Style" w:cs="Bookman Old Style" w:eastAsia="Bookman Old Style" w:hAnsi="Bookman Old Style"/>
          <w:sz w:val="24"/>
          <w:szCs w:val="24"/>
          <w:rtl w:val="0"/>
        </w:rPr>
        <w:t xml:space="preserve"> l'istituzione della ricorrenza del </w:t>
      </w:r>
      <w:r w:rsidDel="00000000" w:rsidR="00000000" w:rsidRPr="00000000">
        <w:rPr>
          <w:rFonts w:ascii="Bookman Old Style" w:cs="Bookman Old Style" w:eastAsia="Bookman Old Style" w:hAnsi="Bookman Old Style"/>
          <w:b w:val="1"/>
          <w:bCs w:val="1"/>
          <w:sz w:val="24"/>
          <w:szCs w:val="24"/>
          <w:rtl w:val="0"/>
        </w:rPr>
        <w:t xml:space="preserve">20 gennaio</w:t>
      </w:r>
      <w:r w:rsidDel="00000000" w:rsidR="00000000" w:rsidRPr="00000000">
        <w:rPr>
          <w:rFonts w:ascii="Bookman Old Style" w:cs="Bookman Old Style" w:eastAsia="Bookman Old Style" w:hAnsi="Bookman Old Style"/>
          <w:sz w:val="24"/>
          <w:szCs w:val="24"/>
          <w:rtl w:val="0"/>
        </w:rPr>
        <w:t xml:space="preserve"> diviene momento procedurale per l'attivazione di specifici percorsi didattici e formativi obbligatori, la cui omissione potrebbe rilevare ai fini della valutazione della diligenza istituzionale.</w:t>
      </w:r>
    </w:p>
    <w:p w:rsidR="00000000" w:rsidDel="00000000" w:rsidP="00000000" w:rsidRDefault="00000000" w:rsidRPr="00000000" w14:paraId="00000020">
      <w:pPr>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21">
      <w:pPr>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22">
      <w:pPr>
        <w:spacing w:line="240" w:lineRule="auto"/>
        <w:jc w:val="both"/>
        <w:rPr>
          <w:rFonts w:ascii="Bookman Old Style" w:cs="Bookman Old Style" w:eastAsia="Bookman Old Style" w:hAnsi="Bookman Old Style"/>
          <w:b w:val="1"/>
          <w:bCs w:val="1"/>
          <w:sz w:val="24"/>
          <w:szCs w:val="24"/>
        </w:rPr>
      </w:pPr>
      <w:r w:rsidDel="00000000" w:rsidR="00000000" w:rsidRPr="00000000">
        <w:rPr>
          <w:rFonts w:ascii="Bookman Old Style" w:cs="Bookman Old Style" w:eastAsia="Bookman Old Style" w:hAnsi="Bookman Old Style"/>
          <w:b w:val="1"/>
          <w:bCs w:val="1"/>
          <w:sz w:val="24"/>
          <w:szCs w:val="24"/>
          <w:rtl w:val="0"/>
        </w:rPr>
        <w:t xml:space="preserve">3. La posizione di garanzia degli operatori e delle famiglie: profili di responsabilità</w:t>
      </w:r>
    </w:p>
    <w:p w:rsidR="00000000" w:rsidDel="00000000" w:rsidP="00000000" w:rsidRDefault="00000000" w:rsidRPr="00000000" w14:paraId="00000023">
      <w:pPr>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24">
      <w:pPr>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L'entrata in vigore della riforma impone una rilettura dei criteri di imputazione della responsabilità. Non si tratta più soltanto di sanzionare l'atto illecito, ma di valutare l'adesione dei soggetti garanti a un modello organizzativo di prevenzione divenuto cogente.</w:t>
      </w:r>
    </w:p>
    <w:p w:rsidR="00000000" w:rsidDel="00000000" w:rsidP="00000000" w:rsidRDefault="00000000" w:rsidRPr="00000000" w14:paraId="00000025">
      <w:pPr>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26">
      <w:pPr>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27">
      <w:pPr>
        <w:spacing w:line="240" w:lineRule="auto"/>
        <w:jc w:val="both"/>
        <w:rPr>
          <w:rFonts w:ascii="Bookman Old Style" w:cs="Bookman Old Style" w:eastAsia="Bookman Old Style" w:hAnsi="Bookman Old Style"/>
          <w:b w:val="1"/>
          <w:bCs w:val="1"/>
          <w:sz w:val="24"/>
          <w:szCs w:val="24"/>
        </w:rPr>
      </w:pPr>
      <w:r w:rsidDel="00000000" w:rsidR="00000000" w:rsidRPr="00000000">
        <w:rPr>
          <w:rFonts w:ascii="Bookman Old Style" w:cs="Bookman Old Style" w:eastAsia="Bookman Old Style" w:hAnsi="Bookman Old Style"/>
          <w:b w:val="1"/>
          <w:bCs w:val="1"/>
          <w:sz w:val="24"/>
          <w:szCs w:val="24"/>
          <w:rtl w:val="0"/>
        </w:rPr>
        <w:t xml:space="preserve">3.1 La responsabilità genitoriale: la </w:t>
      </w:r>
      <w:r w:rsidDel="00000000" w:rsidR="00000000" w:rsidRPr="00000000">
        <w:rPr>
          <w:rFonts w:ascii="Bookman Old Style" w:cs="Bookman Old Style" w:eastAsia="Bookman Old Style" w:hAnsi="Bookman Old Style"/>
          <w:b w:val="1"/>
          <w:bCs w:val="1"/>
          <w:i w:val="1"/>
          <w:iCs w:val="1"/>
          <w:sz w:val="24"/>
          <w:szCs w:val="24"/>
          <w:rtl w:val="0"/>
        </w:rPr>
        <w:t xml:space="preserve">culpa in educando</w:t>
      </w:r>
      <w:r w:rsidDel="00000000" w:rsidR="00000000" w:rsidRPr="00000000">
        <w:rPr>
          <w:rFonts w:ascii="Bookman Old Style" w:cs="Bookman Old Style" w:eastAsia="Bookman Old Style" w:hAnsi="Bookman Old Style"/>
          <w:b w:val="1"/>
          <w:bCs w:val="1"/>
          <w:sz w:val="24"/>
          <w:szCs w:val="24"/>
          <w:rtl w:val="0"/>
        </w:rPr>
        <w:t xml:space="preserve"> nell'era digitale</w:t>
      </w:r>
    </w:p>
    <w:p w:rsidR="00000000" w:rsidDel="00000000" w:rsidP="00000000" w:rsidRDefault="00000000" w:rsidRPr="00000000" w14:paraId="00000028">
      <w:pPr>
        <w:spacing w:line="240" w:lineRule="auto"/>
        <w:jc w:val="both"/>
        <w:rPr>
          <w:rFonts w:ascii="Bookman Old Style" w:cs="Bookman Old Style" w:eastAsia="Bookman Old Style" w:hAnsi="Bookman Old Style"/>
          <w:b w:val="1"/>
          <w:bCs w:val="1"/>
          <w:sz w:val="24"/>
          <w:szCs w:val="24"/>
        </w:rPr>
      </w:pPr>
      <w:r w:rsidDel="00000000" w:rsidR="00000000" w:rsidRPr="00000000">
        <w:rPr>
          <w:rtl w:val="0"/>
        </w:rPr>
      </w:r>
    </w:p>
    <w:p w:rsidR="00000000" w:rsidDel="00000000" w:rsidP="00000000" w:rsidRDefault="00000000" w:rsidRPr="00000000" w14:paraId="00000029">
      <w:pPr>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La responsabilità dei genitori trova fondamento nel combinato disposto dell'art. 2048 c.c. e dell'art. 30 Cost. La giurisprudenza di legittimità ha progressivamente inasprito l'onere probatorio a carico dei genitori per liberarsi dalla responsabilità civile per i fatti illeciti dei figli. Recenti pronunce di merito (cfr. Trib. Brescia, sent. n. 879/2025; Trib. Termini Imerese, sent. n. 304/2025) hanno statuito che la prova liberatoria non può limitarsi alla dimostrazione di una generica sorveglianza. Nell'ambito digitale, la </w:t>
      </w:r>
      <w:r w:rsidDel="00000000" w:rsidR="00000000" w:rsidRPr="00000000">
        <w:rPr>
          <w:rFonts w:ascii="Bookman Old Style" w:cs="Bookman Old Style" w:eastAsia="Bookman Old Style" w:hAnsi="Bookman Old Style"/>
          <w:i w:val="1"/>
          <w:iCs w:val="1"/>
          <w:sz w:val="24"/>
          <w:szCs w:val="24"/>
          <w:rtl w:val="0"/>
        </w:rPr>
        <w:t xml:space="preserve">culpa in educando</w:t>
      </w:r>
      <w:r w:rsidDel="00000000" w:rsidR="00000000" w:rsidRPr="00000000">
        <w:rPr>
          <w:rFonts w:ascii="Bookman Old Style" w:cs="Bookman Old Style" w:eastAsia="Bookman Old Style" w:hAnsi="Bookman Old Style"/>
          <w:sz w:val="24"/>
          <w:szCs w:val="24"/>
          <w:rtl w:val="0"/>
        </w:rPr>
        <w:t xml:space="preserve"> si configura anche come omesso controllo dell'attività online del minore o come mancata alfabetizzazione digitale dello stesso, configurando un dovere di vigilanza "tecnologicamente orientato".</w:t>
      </w:r>
    </w:p>
    <w:p w:rsidR="00000000" w:rsidDel="00000000" w:rsidP="00000000" w:rsidRDefault="00000000" w:rsidRPr="00000000" w14:paraId="0000002A">
      <w:pPr>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2B">
      <w:pPr>
        <w:spacing w:line="240" w:lineRule="auto"/>
        <w:jc w:val="both"/>
        <w:rPr>
          <w:rFonts w:ascii="Bookman Old Style" w:cs="Bookman Old Style" w:eastAsia="Bookman Old Style" w:hAnsi="Bookman Old Style"/>
          <w:b w:val="1"/>
          <w:bCs w:val="1"/>
          <w:sz w:val="24"/>
          <w:szCs w:val="24"/>
        </w:rPr>
      </w:pPr>
      <w:r w:rsidDel="00000000" w:rsidR="00000000" w:rsidRPr="00000000">
        <w:rPr>
          <w:rFonts w:ascii="Bookman Old Style" w:cs="Bookman Old Style" w:eastAsia="Bookman Old Style" w:hAnsi="Bookman Old Style"/>
          <w:b w:val="1"/>
          <w:bCs w:val="1"/>
          <w:sz w:val="24"/>
          <w:szCs w:val="24"/>
          <w:rtl w:val="0"/>
        </w:rPr>
        <w:t xml:space="preserve">3.2 La responsabilità dell'amministrazione scolastica e il reato omissivo</w:t>
      </w:r>
    </w:p>
    <w:p w:rsidR="00000000" w:rsidDel="00000000" w:rsidP="00000000" w:rsidRDefault="00000000" w:rsidRPr="00000000" w14:paraId="0000002C">
      <w:pPr>
        <w:spacing w:line="240" w:lineRule="auto"/>
        <w:jc w:val="both"/>
        <w:rPr>
          <w:rFonts w:ascii="Bookman Old Style" w:cs="Bookman Old Style" w:eastAsia="Bookman Old Style" w:hAnsi="Bookman Old Style"/>
          <w:b w:val="1"/>
          <w:bCs w:val="1"/>
          <w:sz w:val="24"/>
          <w:szCs w:val="24"/>
        </w:rPr>
      </w:pPr>
      <w:r w:rsidDel="00000000" w:rsidR="00000000" w:rsidRPr="00000000">
        <w:rPr>
          <w:rtl w:val="0"/>
        </w:rPr>
      </w:r>
    </w:p>
    <w:p w:rsidR="00000000" w:rsidDel="00000000" w:rsidP="00000000" w:rsidRDefault="00000000" w:rsidRPr="00000000" w14:paraId="0000002D">
      <w:pPr>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La figura del Dirigente Scolastico e del corpo docente assume un ruolo centrale. La responsabilità scivola dal piano della vigilanza diretta (</w:t>
      </w:r>
      <w:r w:rsidDel="00000000" w:rsidR="00000000" w:rsidRPr="00000000">
        <w:rPr>
          <w:rFonts w:ascii="Bookman Old Style" w:cs="Bookman Old Style" w:eastAsia="Bookman Old Style" w:hAnsi="Bookman Old Style"/>
          <w:i w:val="1"/>
          <w:iCs w:val="1"/>
          <w:sz w:val="24"/>
          <w:szCs w:val="24"/>
          <w:rtl w:val="0"/>
        </w:rPr>
        <w:t xml:space="preserve">culpa in vigilando</w:t>
      </w:r>
      <w:r w:rsidDel="00000000" w:rsidR="00000000" w:rsidRPr="00000000">
        <w:rPr>
          <w:rFonts w:ascii="Bookman Old Style" w:cs="Bookman Old Style" w:eastAsia="Bookman Old Style" w:hAnsi="Bookman Old Style"/>
          <w:sz w:val="24"/>
          <w:szCs w:val="24"/>
          <w:rtl w:val="0"/>
        </w:rPr>
        <w:t xml:space="preserve">) a quello della vigilanza organizzativa (</w:t>
      </w:r>
      <w:r w:rsidDel="00000000" w:rsidR="00000000" w:rsidRPr="00000000">
        <w:rPr>
          <w:rFonts w:ascii="Bookman Old Style" w:cs="Bookman Old Style" w:eastAsia="Bookman Old Style" w:hAnsi="Bookman Old Style"/>
          <w:i w:val="1"/>
          <w:iCs w:val="1"/>
          <w:sz w:val="24"/>
          <w:szCs w:val="24"/>
          <w:rtl w:val="0"/>
        </w:rPr>
        <w:t xml:space="preserve">culpa in organizzando</w:t>
      </w:r>
      <w:r w:rsidDel="00000000" w:rsidR="00000000" w:rsidRPr="00000000">
        <w:rPr>
          <w:rFonts w:ascii="Bookman Old Style" w:cs="Bookman Old Style" w:eastAsia="Bookman Old Style" w:hAnsi="Bookman Old Style"/>
          <w:sz w:val="24"/>
          <w:szCs w:val="24"/>
          <w:rtl w:val="0"/>
        </w:rPr>
        <w:t xml:space="preserve">). Sotto il profilo penale, l'analisi deve focalizzarsi sull'art. 40 cpv del Codice Penale ("Non impedire un evento, che si ha l'obbligo giuridico di impedire, equivale a cagionarlo"). Il dirigente o il docente che, pur a conoscenza di reiterati atti vessatori, ometta di attivare i canali istituzionali (famiglia, autorità, supporto psicologico), rischia di rispondere a titolo di concorso mediante omissione nel reato commesso dagli alunni o di incorrere nelle fattispecie di omessa denuncia (artt. 361 c.p.).</w:t>
      </w:r>
    </w:p>
    <w:p w:rsidR="00000000" w:rsidDel="00000000" w:rsidP="00000000" w:rsidRDefault="00000000" w:rsidRPr="00000000" w14:paraId="0000002E">
      <w:pPr>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2F">
      <w:pPr>
        <w:spacing w:line="240" w:lineRule="auto"/>
        <w:jc w:val="both"/>
        <w:rPr>
          <w:rFonts w:ascii="Bookman Old Style" w:cs="Bookman Old Style" w:eastAsia="Bookman Old Style" w:hAnsi="Bookman Old Style"/>
          <w:b w:val="1"/>
          <w:bCs w:val="1"/>
          <w:sz w:val="24"/>
          <w:szCs w:val="24"/>
        </w:rPr>
      </w:pPr>
      <w:r w:rsidDel="00000000" w:rsidR="00000000" w:rsidRPr="00000000">
        <w:rPr>
          <w:rFonts w:ascii="Bookman Old Style" w:cs="Bookman Old Style" w:eastAsia="Bookman Old Style" w:hAnsi="Bookman Old Style"/>
          <w:b w:val="1"/>
          <w:bCs w:val="1"/>
          <w:sz w:val="24"/>
          <w:szCs w:val="24"/>
          <w:rtl w:val="0"/>
        </w:rPr>
        <w:t xml:space="preserve">3.2.1 Focus: il caso "Paolo Mendico" e la causalità omissiva</w:t>
      </w:r>
    </w:p>
    <w:p w:rsidR="00000000" w:rsidDel="00000000" w:rsidP="00000000" w:rsidRDefault="00000000" w:rsidRPr="00000000" w14:paraId="00000030">
      <w:pPr>
        <w:spacing w:line="240" w:lineRule="auto"/>
        <w:jc w:val="both"/>
        <w:rPr>
          <w:rFonts w:ascii="Bookman Old Style" w:cs="Bookman Old Style" w:eastAsia="Bookman Old Style" w:hAnsi="Bookman Old Style"/>
          <w:b w:val="1"/>
          <w:bCs w:val="1"/>
          <w:sz w:val="24"/>
          <w:szCs w:val="24"/>
        </w:rPr>
      </w:pPr>
      <w:r w:rsidDel="00000000" w:rsidR="00000000" w:rsidRPr="00000000">
        <w:rPr>
          <w:rtl w:val="0"/>
        </w:rPr>
      </w:r>
    </w:p>
    <w:p w:rsidR="00000000" w:rsidDel="00000000" w:rsidP="00000000" w:rsidRDefault="00000000" w:rsidRPr="00000000" w14:paraId="00000031">
      <w:pPr>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La vicenda del giovane studente del Sud Lazio, Paolo Mendico, costituisce un punto di non ritorno per la responsabilità scolastica, spostando l'attenzione dall'evento tragico in sé alla gestione amministrativa che lo ha preceduto. L'elemento dirimente non è stato solo l'accertamento giudiziario, quanto piuttosto le risultanze dell'Ispezione Ministeriale disposta dal Ministero dell’Istruzione e del Merito, che ha ribaltato la difesa dell'istituto facendo emergere un quadro di gravi omissioni gestionali.</w:t>
      </w:r>
    </w:p>
    <w:p w:rsidR="00000000" w:rsidDel="00000000" w:rsidP="00000000" w:rsidRDefault="00000000" w:rsidRPr="00000000" w14:paraId="00000032">
      <w:pPr>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33">
      <w:pPr>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Gli Ispettori ministeriali hanno infatti contestato alla governance scolastica (Dirigente, Vice Preside e Responsabile di plesso) non una generica mancata sorveglianza, bensì specifiche violazioni procedurali che hanno portato a sanzioni disciplinari dirette e alla sospensione dal servizio. </w:t>
      </w:r>
    </w:p>
    <w:p w:rsidR="00000000" w:rsidDel="00000000" w:rsidP="00000000" w:rsidRDefault="00000000" w:rsidRPr="00000000" w14:paraId="00000034">
      <w:pPr>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35">
      <w:pPr>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In particolare, è stato accertato e contestato:</w:t>
      </w:r>
    </w:p>
    <w:p w:rsidR="00000000" w:rsidDel="00000000" w:rsidP="00000000" w:rsidRDefault="00000000" w:rsidRPr="00000000" w14:paraId="00000036">
      <w:pPr>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37">
      <w:pPr>
        <w:numPr>
          <w:ilvl w:val="0"/>
          <w:numId w:val="8"/>
        </w:numPr>
        <w:spacing w:line="240" w:lineRule="auto"/>
        <w:ind w:left="720" w:hanging="360"/>
        <w:jc w:val="both"/>
        <w:rPr>
          <w:rFonts w:ascii="Bookman Old Style" w:cs="Bookman Old Style" w:eastAsia="Bookman Old Style" w:hAnsi="Bookman Old Style"/>
          <w:sz w:val="24"/>
          <w:szCs w:val="24"/>
          <w:u w:val="none"/>
        </w:rPr>
      </w:pPr>
      <w:r w:rsidDel="00000000" w:rsidR="00000000" w:rsidRPr="00000000">
        <w:rPr>
          <w:rFonts w:ascii="Bookman Old Style" w:cs="Bookman Old Style" w:eastAsia="Bookman Old Style" w:hAnsi="Bookman Old Style"/>
          <w:sz w:val="24"/>
          <w:szCs w:val="24"/>
          <w:rtl w:val="0"/>
        </w:rPr>
        <w:t xml:space="preserve">la mancata attivazione del Protocollo Anti-bullismo: nonostante la presenza di segnali premonitori e di precedenti segnalazioni della famiglia, la scuola non ha formalizzato alcuna procedura, derubricando erroneamente gli episodi a conflittualità ordinaria.</w:t>
      </w:r>
    </w:p>
    <w:p w:rsidR="00000000" w:rsidDel="00000000" w:rsidP="00000000" w:rsidRDefault="00000000" w:rsidRPr="00000000" w14:paraId="00000038">
      <w:pPr>
        <w:spacing w:line="240" w:lineRule="auto"/>
        <w:ind w:left="0" w:firstLine="0"/>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39">
      <w:pPr>
        <w:numPr>
          <w:ilvl w:val="0"/>
          <w:numId w:val="8"/>
        </w:numPr>
        <w:spacing w:line="240" w:lineRule="auto"/>
        <w:ind w:left="720" w:hanging="360"/>
        <w:jc w:val="both"/>
        <w:rPr>
          <w:rFonts w:ascii="Bookman Old Style" w:cs="Bookman Old Style" w:eastAsia="Bookman Old Style" w:hAnsi="Bookman Old Style"/>
          <w:sz w:val="24"/>
          <w:szCs w:val="24"/>
          <w:u w:val="none"/>
        </w:rPr>
      </w:pPr>
      <w:r w:rsidDel="00000000" w:rsidR="00000000" w:rsidRPr="00000000">
        <w:rPr>
          <w:rFonts w:ascii="Bookman Old Style" w:cs="Bookman Old Style" w:eastAsia="Bookman Old Style" w:hAnsi="Bookman Old Style"/>
          <w:sz w:val="24"/>
          <w:szCs w:val="24"/>
          <w:rtl w:val="0"/>
        </w:rPr>
        <w:t xml:space="preserve">La falsificazione della realtà documentale: gli ispettori hanno rilevato discrepanze tra quanto dichiarato dalla scuola e quanto emerso dai diari e dalle comunicazioni digitali della vittima, contestando alla dirigenza di aver fornito ricostruzioni non veritiere forse per occultare l'inerzia istituzionale.</w:t>
      </w:r>
    </w:p>
    <w:p w:rsidR="00000000" w:rsidDel="00000000" w:rsidP="00000000" w:rsidRDefault="00000000" w:rsidRPr="00000000" w14:paraId="0000003A">
      <w:pPr>
        <w:spacing w:line="240" w:lineRule="auto"/>
        <w:ind w:left="0" w:firstLine="0"/>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3B">
      <w:pPr>
        <w:numPr>
          <w:ilvl w:val="0"/>
          <w:numId w:val="8"/>
        </w:numPr>
        <w:spacing w:line="240" w:lineRule="auto"/>
        <w:ind w:left="720" w:hanging="360"/>
        <w:jc w:val="both"/>
        <w:rPr>
          <w:rFonts w:ascii="Bookman Old Style" w:cs="Bookman Old Style" w:eastAsia="Bookman Old Style" w:hAnsi="Bookman Old Style"/>
          <w:sz w:val="24"/>
          <w:szCs w:val="24"/>
          <w:u w:val="none"/>
        </w:rPr>
      </w:pPr>
      <w:r w:rsidDel="00000000" w:rsidR="00000000" w:rsidRPr="00000000">
        <w:rPr>
          <w:rFonts w:ascii="Bookman Old Style" w:cs="Bookman Old Style" w:eastAsia="Bookman Old Style" w:hAnsi="Bookman Old Style"/>
          <w:sz w:val="24"/>
          <w:szCs w:val="24"/>
          <w:rtl w:val="0"/>
        </w:rPr>
        <w:t xml:space="preserve">L'omessa segnalazione all'Autorità Giudiziaria: pur a fronte di condotte penalmente rilevanti, il personale ha omesso la doverosa denuncia, violando gli obblighi di cui agli artt. 361 e 362 c.p.</w:t>
      </w:r>
    </w:p>
    <w:p w:rsidR="00000000" w:rsidDel="00000000" w:rsidP="00000000" w:rsidRDefault="00000000" w:rsidRPr="00000000" w14:paraId="0000003C">
      <w:pPr>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3D">
      <w:pPr>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In questo contesto, la sanzione a carico della Dirigente Scolastica e del corpo docente non attende il giudicato penale, ma si concretizza immediatamente sul piano disciplinare ed erariale. </w:t>
      </w:r>
    </w:p>
    <w:p w:rsidR="00000000" w:rsidDel="00000000" w:rsidP="00000000" w:rsidRDefault="00000000" w:rsidRPr="00000000" w14:paraId="0000003E">
      <w:pPr>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3F">
      <w:pPr>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La Corte dei Conti, sulla scorta dei verbali ispettivi che certificano la "colpa grave" per l'inosservanza dei doveri d'ufficio, avvia l'azione di rivalsa personale per il danno causato all'Erario, sancendo che l'ignoranza delle nuove norme sul bullismo non è più scusabile e si paga attingendo al patrimonio personale degli operatori.</w:t>
      </w:r>
      <w:r w:rsidDel="00000000" w:rsidR="00000000" w:rsidRPr="00000000">
        <w:rPr>
          <w:rtl w:val="0"/>
        </w:rPr>
      </w:r>
    </w:p>
    <w:p w:rsidR="00000000" w:rsidDel="00000000" w:rsidP="00000000" w:rsidRDefault="00000000" w:rsidRPr="00000000" w14:paraId="00000040">
      <w:pPr>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41">
      <w:pPr>
        <w:spacing w:line="240" w:lineRule="auto"/>
        <w:jc w:val="both"/>
        <w:rPr>
          <w:rFonts w:ascii="Bookman Old Style" w:cs="Bookman Old Style" w:eastAsia="Bookman Old Style" w:hAnsi="Bookman Old Style"/>
          <w:b w:val="1"/>
          <w:bCs w:val="1"/>
          <w:sz w:val="24"/>
          <w:szCs w:val="24"/>
        </w:rPr>
      </w:pPr>
      <w:r w:rsidDel="00000000" w:rsidR="00000000" w:rsidRPr="00000000">
        <w:rPr>
          <w:rFonts w:ascii="Bookman Old Style" w:cs="Bookman Old Style" w:eastAsia="Bookman Old Style" w:hAnsi="Bookman Old Style"/>
          <w:b w:val="1"/>
          <w:bCs w:val="1"/>
          <w:sz w:val="24"/>
          <w:szCs w:val="24"/>
          <w:rtl w:val="0"/>
        </w:rPr>
        <w:t xml:space="preserve">3.3 Gli operatori di Polizia Giudiziaria: obblighi di intervento</w:t>
      </w:r>
    </w:p>
    <w:p w:rsidR="00000000" w:rsidDel="00000000" w:rsidP="00000000" w:rsidRDefault="00000000" w:rsidRPr="00000000" w14:paraId="00000042">
      <w:pPr>
        <w:spacing w:line="240" w:lineRule="auto"/>
        <w:jc w:val="both"/>
        <w:rPr>
          <w:rFonts w:ascii="Bookman Old Style" w:cs="Bookman Old Style" w:eastAsia="Bookman Old Style" w:hAnsi="Bookman Old Style"/>
          <w:b w:val="1"/>
          <w:bCs w:val="1"/>
          <w:sz w:val="24"/>
          <w:szCs w:val="24"/>
        </w:rPr>
      </w:pPr>
      <w:r w:rsidDel="00000000" w:rsidR="00000000" w:rsidRPr="00000000">
        <w:rPr>
          <w:rtl w:val="0"/>
        </w:rPr>
      </w:r>
    </w:p>
    <w:p w:rsidR="00000000" w:rsidDel="00000000" w:rsidP="00000000" w:rsidRDefault="00000000" w:rsidRPr="00000000" w14:paraId="00000043">
      <w:pPr>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Per gli operatori di polizia giudiziaria, il nuovo assetto normativo restringe gli spazi di discrezionalità. A fronte di notizie di reato (sempre più frequenti con le aggravanti dello </w:t>
      </w:r>
      <w:r w:rsidDel="00000000" w:rsidR="00000000" w:rsidRPr="00000000">
        <w:rPr>
          <w:rFonts w:ascii="Bookman Old Style" w:cs="Bookman Old Style" w:eastAsia="Bookman Old Style" w:hAnsi="Bookman Old Style"/>
          <w:i w:val="1"/>
          <w:iCs w:val="1"/>
          <w:sz w:val="24"/>
          <w:szCs w:val="24"/>
          <w:rtl w:val="0"/>
        </w:rPr>
        <w:t xml:space="preserve">stalking</w:t>
      </w:r>
      <w:r w:rsidDel="00000000" w:rsidR="00000000" w:rsidRPr="00000000">
        <w:rPr>
          <w:rFonts w:ascii="Bookman Old Style" w:cs="Bookman Old Style" w:eastAsia="Bookman Old Style" w:hAnsi="Bookman Old Style"/>
          <w:sz w:val="24"/>
          <w:szCs w:val="24"/>
          <w:rtl w:val="0"/>
        </w:rPr>
        <w:t xml:space="preserve"> o della diffamazione aggravata), l'inerzia dell'operatore può integrare il reato di rifiuto o omissione di atti d'ufficio (art. 328 c.p.). </w:t>
      </w:r>
    </w:p>
    <w:p w:rsidR="00000000" w:rsidDel="00000000" w:rsidP="00000000" w:rsidRDefault="00000000" w:rsidRPr="00000000" w14:paraId="00000044">
      <w:pPr>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45">
      <w:pPr>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Anche l'Ammonimento del Questore, pur essendo misura amministrativa discrezionale, richiede un'istruttoria doverosa: l'operatore che ometta di trasmettere gli elementi utili per l'avvio del procedimento espone l'amministrazione a responsabilità per l'eventuale reiterazione della condotta lesiva.</w:t>
      </w:r>
    </w:p>
    <w:p w:rsidR="00000000" w:rsidDel="00000000" w:rsidP="00000000" w:rsidRDefault="00000000" w:rsidRPr="00000000" w14:paraId="00000046">
      <w:pPr>
        <w:spacing w:line="240" w:lineRule="auto"/>
        <w:jc w:val="both"/>
        <w:rPr>
          <w:rFonts w:ascii="Bookman Old Style" w:cs="Bookman Old Style" w:eastAsia="Bookman Old Style" w:hAnsi="Bookman Old Style"/>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7">
      <w:pPr>
        <w:spacing w:line="240" w:lineRule="auto"/>
        <w:jc w:val="both"/>
        <w:rPr>
          <w:rFonts w:ascii="Bookman Old Style" w:cs="Bookman Old Style" w:eastAsia="Bookman Old Style" w:hAnsi="Bookman Old Style"/>
          <w:b w:val="1"/>
          <w:bCs w:val="1"/>
          <w:sz w:val="24"/>
          <w:szCs w:val="24"/>
        </w:rPr>
      </w:pPr>
      <w:r w:rsidDel="00000000" w:rsidR="00000000" w:rsidRPr="00000000">
        <w:rPr>
          <w:rFonts w:ascii="Bookman Old Style" w:cs="Bookman Old Style" w:eastAsia="Bookman Old Style" w:hAnsi="Bookman Old Style"/>
          <w:b w:val="1"/>
          <w:bCs w:val="1"/>
          <w:sz w:val="24"/>
          <w:szCs w:val="24"/>
          <w:rtl w:val="0"/>
        </w:rPr>
        <w:t xml:space="preserve">4. Strumenti di tutela e monitoraggio del fenomeno</w:t>
      </w:r>
    </w:p>
    <w:p w:rsidR="00000000" w:rsidDel="00000000" w:rsidP="00000000" w:rsidRDefault="00000000" w:rsidRPr="00000000" w14:paraId="00000048">
      <w:pPr>
        <w:spacing w:line="240" w:lineRule="auto"/>
        <w:jc w:val="both"/>
        <w:rPr>
          <w:rFonts w:ascii="Bookman Old Style" w:cs="Bookman Old Style" w:eastAsia="Bookman Old Style" w:hAnsi="Bookman Old Style"/>
          <w:b w:val="1"/>
          <w:bCs w:val="1"/>
          <w:sz w:val="24"/>
          <w:szCs w:val="24"/>
        </w:rPr>
      </w:pPr>
      <w:r w:rsidDel="00000000" w:rsidR="00000000" w:rsidRPr="00000000">
        <w:rPr>
          <w:rtl w:val="0"/>
        </w:rPr>
      </w:r>
    </w:p>
    <w:p w:rsidR="00000000" w:rsidDel="00000000" w:rsidP="00000000" w:rsidRDefault="00000000" w:rsidRPr="00000000" w14:paraId="00000049">
      <w:pPr>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La riforma introduce meccanismi di </w:t>
      </w:r>
      <w:r w:rsidDel="00000000" w:rsidR="00000000" w:rsidRPr="00000000">
        <w:rPr>
          <w:rFonts w:ascii="Bookman Old Style" w:cs="Bookman Old Style" w:eastAsia="Bookman Old Style" w:hAnsi="Bookman Old Style"/>
          <w:i w:val="1"/>
          <w:iCs w:val="1"/>
          <w:sz w:val="24"/>
          <w:szCs w:val="24"/>
          <w:rtl w:val="0"/>
        </w:rPr>
        <w:t xml:space="preserve">data intelligence</w:t>
      </w:r>
      <w:r w:rsidDel="00000000" w:rsidR="00000000" w:rsidRPr="00000000">
        <w:rPr>
          <w:rFonts w:ascii="Bookman Old Style" w:cs="Bookman Old Style" w:eastAsia="Bookman Old Style" w:hAnsi="Bookman Old Style"/>
          <w:sz w:val="24"/>
          <w:szCs w:val="24"/>
          <w:rtl w:val="0"/>
        </w:rPr>
        <w:t xml:space="preserve"> e supporto immediato, essenziali per la calibrazione delle politiche pubbliche.</w:t>
      </w:r>
    </w:p>
    <w:p w:rsidR="00000000" w:rsidDel="00000000" w:rsidP="00000000" w:rsidRDefault="00000000" w:rsidRPr="00000000" w14:paraId="0000004A">
      <w:pPr>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4B">
      <w:pPr>
        <w:numPr>
          <w:ilvl w:val="0"/>
          <w:numId w:val="1"/>
        </w:numPr>
        <w:spacing w:line="240" w:lineRule="auto"/>
        <w:ind w:left="720" w:hanging="360"/>
        <w:jc w:val="both"/>
        <w:rPr>
          <w:rFonts w:ascii="Bookman Old Style" w:cs="Bookman Old Style" w:eastAsia="Bookman Old Style" w:hAnsi="Bookman Old Style"/>
          <w:sz w:val="24"/>
          <w:szCs w:val="24"/>
          <w:u w:val="none"/>
        </w:rPr>
      </w:pPr>
      <w:r w:rsidDel="00000000" w:rsidR="00000000" w:rsidRPr="00000000">
        <w:rPr>
          <w:rFonts w:ascii="Bookman Old Style" w:cs="Bookman Old Style" w:eastAsia="Bookman Old Style" w:hAnsi="Bookman Old Style"/>
          <w:b w:val="1"/>
          <w:bCs w:val="1"/>
          <w:sz w:val="24"/>
          <w:szCs w:val="24"/>
          <w:rtl w:val="0"/>
        </w:rPr>
        <w:t xml:space="preserve">Servizio "Emergenza Infanzia 114":</w:t>
      </w:r>
      <w:r w:rsidDel="00000000" w:rsidR="00000000" w:rsidRPr="00000000">
        <w:rPr>
          <w:rFonts w:ascii="Bookman Old Style" w:cs="Bookman Old Style" w:eastAsia="Bookman Old Style" w:hAnsi="Bookman Old Style"/>
          <w:sz w:val="24"/>
          <w:szCs w:val="24"/>
          <w:rtl w:val="0"/>
        </w:rPr>
        <w:t xml:space="preserve"> potenziato nelle sue funzioni, non agisce solo come centro di ascolto, ma come snodo operativo per il raccordo tra segnalazione, supporto psicologico d'urgenza e attivazione delle Forze di Polizia, con funzionalità di geolocalizzazione.</w:t>
      </w:r>
    </w:p>
    <w:p w:rsidR="00000000" w:rsidDel="00000000" w:rsidP="00000000" w:rsidRDefault="00000000" w:rsidRPr="00000000" w14:paraId="0000004C">
      <w:pPr>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4D">
      <w:pPr>
        <w:numPr>
          <w:ilvl w:val="0"/>
          <w:numId w:val="2"/>
        </w:numPr>
        <w:spacing w:line="240" w:lineRule="auto"/>
        <w:ind w:left="720" w:hanging="360"/>
        <w:jc w:val="both"/>
        <w:rPr>
          <w:rFonts w:ascii="Bookman Old Style" w:cs="Bookman Old Style" w:eastAsia="Bookman Old Style" w:hAnsi="Bookman Old Style"/>
          <w:sz w:val="24"/>
          <w:szCs w:val="24"/>
          <w:u w:val="none"/>
        </w:rPr>
      </w:pPr>
      <w:r w:rsidDel="00000000" w:rsidR="00000000" w:rsidRPr="00000000">
        <w:rPr>
          <w:rFonts w:ascii="Bookman Old Style" w:cs="Bookman Old Style" w:eastAsia="Bookman Old Style" w:hAnsi="Bookman Old Style"/>
          <w:b w:val="1"/>
          <w:bCs w:val="1"/>
          <w:sz w:val="24"/>
          <w:szCs w:val="24"/>
          <w:rtl w:val="0"/>
        </w:rPr>
        <w:t xml:space="preserve">Rilevazione statistica ISTAT:</w:t>
      </w:r>
      <w:r w:rsidDel="00000000" w:rsidR="00000000" w:rsidRPr="00000000">
        <w:rPr>
          <w:rFonts w:ascii="Bookman Old Style" w:cs="Bookman Old Style" w:eastAsia="Bookman Old Style" w:hAnsi="Bookman Old Style"/>
          <w:sz w:val="24"/>
          <w:szCs w:val="24"/>
          <w:rtl w:val="0"/>
        </w:rPr>
        <w:t xml:space="preserve"> la previsione di un monitoraggio biennale obbligatorio colma una lacuna informativa, permettendo di analizzare il fenomeno con rigore scientifico e di valutare l'efficacia delle misure attuate (c.d. </w:t>
      </w:r>
      <w:r w:rsidDel="00000000" w:rsidR="00000000" w:rsidRPr="00000000">
        <w:rPr>
          <w:rFonts w:ascii="Bookman Old Style" w:cs="Bookman Old Style" w:eastAsia="Bookman Old Style" w:hAnsi="Bookman Old Style"/>
          <w:i w:val="1"/>
          <w:iCs w:val="1"/>
          <w:sz w:val="24"/>
          <w:szCs w:val="24"/>
          <w:rtl w:val="0"/>
        </w:rPr>
        <w:t xml:space="preserve">policy evaluation</w:t>
      </w:r>
      <w:r w:rsidDel="00000000" w:rsidR="00000000" w:rsidRPr="00000000">
        <w:rPr>
          <w:rFonts w:ascii="Bookman Old Style" w:cs="Bookman Old Style" w:eastAsia="Bookman Old Style" w:hAnsi="Bookman Old Style"/>
          <w:sz w:val="24"/>
          <w:szCs w:val="24"/>
          <w:rtl w:val="0"/>
        </w:rPr>
        <w:t xml:space="preserve">), fornendo al Parlamento dati certi su cui legiferare.</w:t>
      </w:r>
    </w:p>
    <w:p w:rsidR="00000000" w:rsidDel="00000000" w:rsidP="00000000" w:rsidRDefault="00000000" w:rsidRPr="00000000" w14:paraId="0000004E">
      <w:pPr>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4F">
      <w:pPr>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50">
      <w:pPr>
        <w:spacing w:line="240" w:lineRule="auto"/>
        <w:jc w:val="both"/>
        <w:rPr>
          <w:rFonts w:ascii="Bookman Old Style" w:cs="Bookman Old Style" w:eastAsia="Bookman Old Style" w:hAnsi="Bookman Old Style"/>
          <w:b w:val="1"/>
          <w:bCs w:val="1"/>
          <w:sz w:val="24"/>
          <w:szCs w:val="24"/>
        </w:rPr>
      </w:pPr>
      <w:r w:rsidDel="00000000" w:rsidR="00000000" w:rsidRPr="00000000">
        <w:rPr>
          <w:rFonts w:ascii="Bookman Old Style" w:cs="Bookman Old Style" w:eastAsia="Bookman Old Style" w:hAnsi="Bookman Old Style"/>
          <w:b w:val="1"/>
          <w:bCs w:val="1"/>
          <w:sz w:val="24"/>
          <w:szCs w:val="24"/>
          <w:rtl w:val="0"/>
        </w:rPr>
        <w:t xml:space="preserve">5. Analisi empirica di un modello di sicurezza integrata: il "Caso Ciampino"</w:t>
      </w:r>
    </w:p>
    <w:p w:rsidR="00000000" w:rsidDel="00000000" w:rsidP="00000000" w:rsidRDefault="00000000" w:rsidRPr="00000000" w14:paraId="00000051">
      <w:pPr>
        <w:spacing w:line="240" w:lineRule="auto"/>
        <w:jc w:val="both"/>
        <w:rPr>
          <w:rFonts w:ascii="Bookman Old Style" w:cs="Bookman Old Style" w:eastAsia="Bookman Old Style" w:hAnsi="Bookman Old Style"/>
          <w:b w:val="1"/>
          <w:bCs w:val="1"/>
          <w:sz w:val="24"/>
          <w:szCs w:val="24"/>
        </w:rPr>
      </w:pPr>
      <w:r w:rsidDel="00000000" w:rsidR="00000000" w:rsidRPr="00000000">
        <w:rPr>
          <w:rtl w:val="0"/>
        </w:rPr>
      </w:r>
    </w:p>
    <w:p w:rsidR="00000000" w:rsidDel="00000000" w:rsidP="00000000" w:rsidRDefault="00000000" w:rsidRPr="00000000" w14:paraId="00000052">
      <w:pPr>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L'analisi del D.Lgs. 99/2025 rivela una significativa convergenza tra le nuove disposizioni normative e le prassi operative sperimentate in alcuni contesti locali virtuosi. In tal senso, l'esperienza del Comando di Polizia Locale di Ciampino (Roma) si configura come un </w:t>
      </w:r>
      <w:r w:rsidDel="00000000" w:rsidR="00000000" w:rsidRPr="00000000">
        <w:rPr>
          <w:rFonts w:ascii="Bookman Old Style" w:cs="Bookman Old Style" w:eastAsia="Bookman Old Style" w:hAnsi="Bookman Old Style"/>
          <w:i w:val="1"/>
          <w:iCs w:val="1"/>
          <w:sz w:val="24"/>
          <w:szCs w:val="24"/>
          <w:rtl w:val="0"/>
        </w:rPr>
        <w:t xml:space="preserve">case study</w:t>
      </w:r>
      <w:r w:rsidDel="00000000" w:rsidR="00000000" w:rsidRPr="00000000">
        <w:rPr>
          <w:rFonts w:ascii="Bookman Old Style" w:cs="Bookman Old Style" w:eastAsia="Bookman Old Style" w:hAnsi="Bookman Old Style"/>
          <w:sz w:val="24"/>
          <w:szCs w:val="24"/>
          <w:rtl w:val="0"/>
        </w:rPr>
        <w:t xml:space="preserve"> di rilievo per comprendere l'applicazione pratica dei principi di sicurezza urbana integrata. </w:t>
      </w:r>
    </w:p>
    <w:p w:rsidR="00000000" w:rsidDel="00000000" w:rsidP="00000000" w:rsidRDefault="00000000" w:rsidRPr="00000000" w14:paraId="00000053">
      <w:pPr>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54">
      <w:pPr>
        <w:spacing w:line="240" w:lineRule="auto"/>
        <w:jc w:val="both"/>
        <w:rPr>
          <w:rFonts w:ascii="Bookman Old Style" w:cs="Bookman Old Style" w:eastAsia="Bookman Old Style" w:hAnsi="Bookman Old Style"/>
          <w:b w:val="1"/>
          <w:bCs w:val="1"/>
          <w:sz w:val="24"/>
          <w:szCs w:val="24"/>
        </w:rPr>
      </w:pPr>
      <w:r w:rsidDel="00000000" w:rsidR="00000000" w:rsidRPr="00000000">
        <w:rPr>
          <w:rFonts w:ascii="Bookman Old Style" w:cs="Bookman Old Style" w:eastAsia="Bookman Old Style" w:hAnsi="Bookman Old Style"/>
          <w:b w:val="1"/>
          <w:bCs w:val="1"/>
          <w:sz w:val="24"/>
          <w:szCs w:val="24"/>
          <w:rtl w:val="0"/>
        </w:rPr>
        <w:t xml:space="preserve">5.1 L'anticipazione delle tutele normative</w:t>
      </w:r>
    </w:p>
    <w:p w:rsidR="00000000" w:rsidDel="00000000" w:rsidP="00000000" w:rsidRDefault="00000000" w:rsidRPr="00000000" w14:paraId="00000055">
      <w:pPr>
        <w:spacing w:line="240" w:lineRule="auto"/>
        <w:jc w:val="both"/>
        <w:rPr>
          <w:rFonts w:ascii="Bookman Old Style" w:cs="Bookman Old Style" w:eastAsia="Bookman Old Style" w:hAnsi="Bookman Old Style"/>
          <w:b w:val="1"/>
          <w:bCs w:val="1"/>
          <w:sz w:val="24"/>
          <w:szCs w:val="24"/>
        </w:rPr>
      </w:pPr>
      <w:r w:rsidDel="00000000" w:rsidR="00000000" w:rsidRPr="00000000">
        <w:rPr>
          <w:rtl w:val="0"/>
        </w:rPr>
      </w:r>
    </w:p>
    <w:p w:rsidR="00000000" w:rsidDel="00000000" w:rsidP="00000000" w:rsidRDefault="00000000" w:rsidRPr="00000000" w14:paraId="00000056">
      <w:pPr>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Il modello operativo sviluppato a Ciampino a partire dal 2006 ha di fatto anticipato gli istituti oggi codificati. La costituzione </w:t>
      </w:r>
      <w:r w:rsidDel="00000000" w:rsidR="00000000" w:rsidRPr="00000000">
        <w:rPr>
          <w:rFonts w:ascii="Bookman Old Style" w:cs="Bookman Old Style" w:eastAsia="Bookman Old Style" w:hAnsi="Bookman Old Style"/>
          <w:i w:val="1"/>
          <w:iCs w:val="1"/>
          <w:sz w:val="24"/>
          <w:szCs w:val="24"/>
          <w:rtl w:val="0"/>
        </w:rPr>
        <w:t xml:space="preserve">ante litteram</w:t>
      </w:r>
      <w:r w:rsidDel="00000000" w:rsidR="00000000" w:rsidRPr="00000000">
        <w:rPr>
          <w:rFonts w:ascii="Bookman Old Style" w:cs="Bookman Old Style" w:eastAsia="Bookman Old Style" w:hAnsi="Bookman Old Style"/>
          <w:sz w:val="24"/>
          <w:szCs w:val="24"/>
          <w:rtl w:val="0"/>
        </w:rPr>
        <w:t xml:space="preserve"> di un nucleo specializzato di Agenti e Ufficiali ha permesso di superare la logica del mero intervento repressivo a favore di una strategia di "Polizia di Prossimità". L'elemento qualificante di tale esperienza risiede nella costruzione di una rete territoriale interistituzionale (Polizia Locale, Scuole, Servizi Sociali, Terzo Settore), che il D.Lgs. 99/2025 pone oggi come standard nazionale obbligatorio.</w:t>
      </w:r>
    </w:p>
    <w:p w:rsidR="00000000" w:rsidDel="00000000" w:rsidP="00000000" w:rsidRDefault="00000000" w:rsidRPr="00000000" w14:paraId="00000057">
      <w:pPr>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58">
      <w:pPr>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59">
      <w:pPr>
        <w:spacing w:line="240" w:lineRule="auto"/>
        <w:jc w:val="both"/>
        <w:rPr>
          <w:rFonts w:ascii="Bookman Old Style" w:cs="Bookman Old Style" w:eastAsia="Bookman Old Style" w:hAnsi="Bookman Old Style"/>
          <w:b w:val="1"/>
          <w:bCs w:val="1"/>
          <w:sz w:val="24"/>
          <w:szCs w:val="24"/>
        </w:rPr>
      </w:pPr>
      <w:r w:rsidDel="00000000" w:rsidR="00000000" w:rsidRPr="00000000">
        <w:rPr>
          <w:rFonts w:ascii="Bookman Old Style" w:cs="Bookman Old Style" w:eastAsia="Bookman Old Style" w:hAnsi="Bookman Old Style"/>
          <w:b w:val="1"/>
          <w:bCs w:val="1"/>
          <w:sz w:val="24"/>
          <w:szCs w:val="24"/>
          <w:rtl w:val="0"/>
        </w:rPr>
        <w:t xml:space="preserve">5.2 Metodologie di intervento: </w:t>
      </w:r>
      <w:r w:rsidDel="00000000" w:rsidR="00000000" w:rsidRPr="00000000">
        <w:rPr>
          <w:rFonts w:ascii="Bookman Old Style" w:cs="Bookman Old Style" w:eastAsia="Bookman Old Style" w:hAnsi="Bookman Old Style"/>
          <w:b w:val="1"/>
          <w:bCs w:val="1"/>
          <w:i w:val="1"/>
          <w:iCs w:val="1"/>
          <w:sz w:val="24"/>
          <w:szCs w:val="24"/>
          <w:rtl w:val="0"/>
        </w:rPr>
        <w:t xml:space="preserve">Peer Education</w:t>
      </w:r>
      <w:r w:rsidDel="00000000" w:rsidR="00000000" w:rsidRPr="00000000">
        <w:rPr>
          <w:rFonts w:ascii="Bookman Old Style" w:cs="Bookman Old Style" w:eastAsia="Bookman Old Style" w:hAnsi="Bookman Old Style"/>
          <w:b w:val="1"/>
          <w:bCs w:val="1"/>
          <w:sz w:val="24"/>
          <w:szCs w:val="24"/>
          <w:rtl w:val="0"/>
        </w:rPr>
        <w:t xml:space="preserve"> e mediazione</w:t>
      </w:r>
    </w:p>
    <w:p w:rsidR="00000000" w:rsidDel="00000000" w:rsidP="00000000" w:rsidRDefault="00000000" w:rsidRPr="00000000" w14:paraId="0000005A">
      <w:pPr>
        <w:spacing w:line="240" w:lineRule="auto"/>
        <w:jc w:val="both"/>
        <w:rPr>
          <w:rFonts w:ascii="Bookman Old Style" w:cs="Bookman Old Style" w:eastAsia="Bookman Old Style" w:hAnsi="Bookman Old Style"/>
          <w:b w:val="1"/>
          <w:bCs w:val="1"/>
          <w:sz w:val="24"/>
          <w:szCs w:val="24"/>
        </w:rPr>
      </w:pPr>
      <w:r w:rsidDel="00000000" w:rsidR="00000000" w:rsidRPr="00000000">
        <w:rPr>
          <w:rtl w:val="0"/>
        </w:rPr>
      </w:r>
    </w:p>
    <w:p w:rsidR="00000000" w:rsidDel="00000000" w:rsidP="00000000" w:rsidRDefault="00000000" w:rsidRPr="00000000" w14:paraId="0000005B">
      <w:pPr>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L'analisi delle attività svolte nel territorio di Ciampino evidenzia l'efficacia empirica di due metodologie specifiche:</w:t>
      </w:r>
    </w:p>
    <w:p w:rsidR="00000000" w:rsidDel="00000000" w:rsidP="00000000" w:rsidRDefault="00000000" w:rsidRPr="00000000" w14:paraId="0000005C">
      <w:pPr>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5D">
      <w:pPr>
        <w:numPr>
          <w:ilvl w:val="0"/>
          <w:numId w:val="6"/>
        </w:numPr>
        <w:spacing w:line="240" w:lineRule="auto"/>
        <w:ind w:left="720" w:hanging="360"/>
        <w:jc w:val="both"/>
        <w:rPr>
          <w:rFonts w:ascii="Bookman Old Style" w:cs="Bookman Old Style" w:eastAsia="Bookman Old Style" w:hAnsi="Bookman Old Style"/>
          <w:sz w:val="24"/>
          <w:szCs w:val="24"/>
          <w:u w:val="none"/>
        </w:rPr>
      </w:pPr>
      <w:r w:rsidDel="00000000" w:rsidR="00000000" w:rsidRPr="00000000">
        <w:rPr>
          <w:rFonts w:ascii="Bookman Old Style" w:cs="Bookman Old Style" w:eastAsia="Bookman Old Style" w:hAnsi="Bookman Old Style"/>
          <w:b w:val="1"/>
          <w:bCs w:val="1"/>
          <w:i w:val="1"/>
          <w:iCs w:val="1"/>
          <w:sz w:val="24"/>
          <w:szCs w:val="24"/>
          <w:rtl w:val="0"/>
        </w:rPr>
        <w:t xml:space="preserve">Peer Education:</w:t>
      </w:r>
      <w:r w:rsidDel="00000000" w:rsidR="00000000" w:rsidRPr="00000000">
        <w:rPr>
          <w:rFonts w:ascii="Bookman Old Style" w:cs="Bookman Old Style" w:eastAsia="Bookman Old Style" w:hAnsi="Bookman Old Style"/>
          <w:sz w:val="24"/>
          <w:szCs w:val="24"/>
          <w:rtl w:val="0"/>
        </w:rPr>
        <w:t xml:space="preserve"> i progetti che hanno coinvolto studenti delle scuole superiori nella creazione di contenuti formativi (spot, video) per gli alunni più giovani hanno dimostrato — in linea con le moderne teorie pedagogiche — una maggiore efficacia comunicativa rispetto alla lezione frontale tradizionale, favorendo l'interiorizzazione della norma sociale.</w:t>
      </w:r>
    </w:p>
    <w:p w:rsidR="00000000" w:rsidDel="00000000" w:rsidP="00000000" w:rsidRDefault="00000000" w:rsidRPr="00000000" w14:paraId="0000005E">
      <w:pPr>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5F">
      <w:pPr>
        <w:numPr>
          <w:ilvl w:val="0"/>
          <w:numId w:val="5"/>
        </w:numPr>
        <w:spacing w:line="240" w:lineRule="auto"/>
        <w:ind w:left="720" w:hanging="360"/>
        <w:jc w:val="both"/>
        <w:rPr>
          <w:rFonts w:ascii="Bookman Old Style" w:cs="Bookman Old Style" w:eastAsia="Bookman Old Style" w:hAnsi="Bookman Old Style"/>
          <w:sz w:val="24"/>
          <w:szCs w:val="24"/>
          <w:u w:val="none"/>
        </w:rPr>
      </w:pPr>
      <w:r w:rsidDel="00000000" w:rsidR="00000000" w:rsidRPr="00000000">
        <w:rPr>
          <w:rFonts w:ascii="Bookman Old Style" w:cs="Bookman Old Style" w:eastAsia="Bookman Old Style" w:hAnsi="Bookman Old Style"/>
          <w:b w:val="1"/>
          <w:bCs w:val="1"/>
          <w:sz w:val="24"/>
          <w:szCs w:val="24"/>
          <w:rtl w:val="0"/>
        </w:rPr>
        <w:t xml:space="preserve">Approccio mediatorio:</w:t>
      </w:r>
      <w:r w:rsidDel="00000000" w:rsidR="00000000" w:rsidRPr="00000000">
        <w:rPr>
          <w:rFonts w:ascii="Bookman Old Style" w:cs="Bookman Old Style" w:eastAsia="Bookman Old Style" w:hAnsi="Bookman Old Style"/>
          <w:sz w:val="24"/>
          <w:szCs w:val="24"/>
          <w:rtl w:val="0"/>
        </w:rPr>
        <w:t xml:space="preserve"> la collaborazione strutturata con enti specializzati (come l'Associazione Mediamo) ha introdotto tecniche di gestione del conflitto fin dalla scuola primaria. Tali risultanze empiriche confermano che il ruolo della Polizia Locale, nel nuovo assetto normativo, non è confinato alla sanzione, ma si estende alla funzione di agenzia educativa sussidiaria, perno insostituibile di un sistema di "sicurezza partecipata".</w:t>
      </w:r>
    </w:p>
    <w:p w:rsidR="00000000" w:rsidDel="00000000" w:rsidP="00000000" w:rsidRDefault="00000000" w:rsidRPr="00000000" w14:paraId="00000060">
      <w:pPr>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61">
      <w:pPr>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62">
      <w:pPr>
        <w:spacing w:line="240" w:lineRule="auto"/>
        <w:jc w:val="both"/>
        <w:rPr>
          <w:rFonts w:ascii="Bookman Old Style" w:cs="Bookman Old Style" w:eastAsia="Bookman Old Style" w:hAnsi="Bookman Old Style"/>
          <w:b w:val="1"/>
          <w:bCs w:val="1"/>
          <w:sz w:val="24"/>
          <w:szCs w:val="24"/>
        </w:rPr>
      </w:pPr>
      <w:r w:rsidDel="00000000" w:rsidR="00000000" w:rsidRPr="00000000">
        <w:rPr>
          <w:rFonts w:ascii="Bookman Old Style" w:cs="Bookman Old Style" w:eastAsia="Bookman Old Style" w:hAnsi="Bookman Old Style"/>
          <w:b w:val="1"/>
          <w:bCs w:val="1"/>
          <w:sz w:val="24"/>
          <w:szCs w:val="24"/>
          <w:rtl w:val="0"/>
        </w:rPr>
        <w:t xml:space="preserve">6. Conclusioni.</w:t>
      </w:r>
    </w:p>
    <w:p w:rsidR="00000000" w:rsidDel="00000000" w:rsidP="00000000" w:rsidRDefault="00000000" w:rsidRPr="00000000" w14:paraId="00000063">
      <w:pPr>
        <w:spacing w:line="240" w:lineRule="auto"/>
        <w:jc w:val="both"/>
        <w:rPr>
          <w:rFonts w:ascii="Bookman Old Style" w:cs="Bookman Old Style" w:eastAsia="Bookman Old Style" w:hAnsi="Bookman Old Style"/>
          <w:b w:val="1"/>
          <w:bCs w:val="1"/>
          <w:sz w:val="24"/>
          <w:szCs w:val="24"/>
        </w:rPr>
      </w:pPr>
      <w:r w:rsidDel="00000000" w:rsidR="00000000" w:rsidRPr="00000000">
        <w:rPr>
          <w:rtl w:val="0"/>
        </w:rPr>
      </w:r>
    </w:p>
    <w:p w:rsidR="00000000" w:rsidDel="00000000" w:rsidP="00000000" w:rsidRDefault="00000000" w:rsidRPr="00000000" w14:paraId="00000064">
      <w:pPr>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La riforma del 2025 segna il passaggio definitivo da una gestione emergenziale del bullismo a una gestione strutturale. L'analisi condotta evidenzia come il legislatore abbia inteso costruire un sistema a "responsabilità diffusa", dove la tutela del minore non è appannaggio esclusivo di un singolo ente. Per gli operatori del diritto e, segnatamente, per la Polizia Locale, ciò implica la necessità di un aggiornamento professionale costante, non solo sulle procedure sanzionatorie, ma sulle dinamiche relazionali e sugli strumenti di rete. Come dimostrato dall'evidenza empirica del modello Ciampino, l'efficacia della norma risiede nella sua applicazione territoriale sinergica: solo un'alleanza operativa reale tra famiglia, scuola e forze di polizia può garantire l'effettività della tutela dei diritti del minore nell'ecosistema fisico e digitale.</w:t>
      </w:r>
    </w:p>
    <w:p w:rsidR="00000000" w:rsidDel="00000000" w:rsidP="00000000" w:rsidRDefault="00000000" w:rsidRPr="00000000" w14:paraId="00000065">
      <w:pPr>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66">
      <w:pPr>
        <w:spacing w:line="240" w:lineRule="auto"/>
        <w:jc w:val="both"/>
        <w:rPr>
          <w:rFonts w:ascii="Bookman Old Style" w:cs="Bookman Old Style" w:eastAsia="Bookman Old Style" w:hAnsi="Bookman Old Style"/>
          <w:sz w:val="24"/>
          <w:szCs w:val="24"/>
        </w:rPr>
      </w:pPr>
      <w:r w:rsidDel="00000000" w:rsidR="00000000" w:rsidRPr="00000000">
        <w:rPr>
          <w:rtl w:val="0"/>
        </w:rPr>
      </w:r>
    </w:p>
    <w:sectPr>
      <w:footerReference r:id="rId6" w:type="default"/>
      <w:pgSz w:h="16838" w:w="11906" w:orient="portrait"/>
      <w:pgMar w:bottom="1700.7874015748032" w:top="2267.716535433071" w:left="1700.7874015748032"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Bookman Old Styl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spacing w:line="264" w:lineRule="auto"/>
      <w:jc w:val="right"/>
      <w:rPr>
        <w:rFonts w:ascii="Bookman Old Style" w:cs="Bookman Old Style" w:eastAsia="Bookman Old Style" w:hAnsi="Bookman Old Style"/>
        <w:b w:val="1"/>
        <w:bCs w:val="1"/>
        <w:sz w:val="16"/>
        <w:szCs w:val="16"/>
      </w:rPr>
    </w:pPr>
    <w:r w:rsidDel="00000000" w:rsidR="00000000" w:rsidRPr="00000000">
      <w:rPr>
        <w:rFonts w:ascii="Bookman Old Style" w:cs="Bookman Old Style" w:eastAsia="Bookman Old Style" w:hAnsi="Bookman Old Style"/>
        <w:b w:val="1"/>
        <w:bCs w:val="1"/>
        <w:sz w:val="16"/>
        <w:szCs w:val="16"/>
        <w:rtl w:val="0"/>
      </w:rPr>
      <w:t xml:space="preserve">Pagina </w:t>
    </w:r>
    <w:r w:rsidDel="00000000" w:rsidR="00000000" w:rsidRPr="00000000">
      <w:rPr>
        <w:rFonts w:ascii="Bookman Old Style" w:cs="Bookman Old Style" w:eastAsia="Bookman Old Style" w:hAnsi="Bookman Old Style"/>
        <w:b w:val="1"/>
        <w:bCs w:val="1"/>
        <w:sz w:val="16"/>
        <w:szCs w:val="16"/>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